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D771E" w:rsidRPr="001F5222" w:rsidTr="00CD771E">
        <w:trPr>
          <w:trHeight w:val="5257"/>
        </w:trPr>
        <w:tc>
          <w:tcPr>
            <w:tcW w:w="9923" w:type="dxa"/>
          </w:tcPr>
          <w:p w:rsidR="00CD771E" w:rsidRDefault="00CD771E" w:rsidP="00E13A02">
            <w:pPr>
              <w:pStyle w:val="3"/>
              <w:ind w:left="34"/>
              <w:rPr>
                <w:rFonts w:ascii="Times New Roman" w:hAnsi="Times New Roman"/>
                <w:color w:val="FF0000"/>
                <w:sz w:val="22"/>
                <w:szCs w:val="22"/>
              </w:rPr>
            </w:pPr>
            <w:bookmarkStart w:id="0" w:name="FLD81"/>
            <w:bookmarkEnd w:id="0"/>
            <w:r>
              <w:rPr>
                <w:noProof/>
                <w:lang w:val="el-GR"/>
              </w:rPr>
              <w:drawing>
                <wp:inline distT="0" distB="0" distL="0" distR="0">
                  <wp:extent cx="2562225" cy="981075"/>
                  <wp:effectExtent l="19050" t="0" r="9525" b="0"/>
                  <wp:docPr id="5" name="Εικόνα 7" descr="C:\Users\pasin\Desktop\logotypo\Logo_Anaptyxis_Ependyse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C:\Users\pasin\Desktop\logotypo\Logo_Anaptyxis_Ependyse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71E" w:rsidRPr="00F03163" w:rsidRDefault="00CD771E" w:rsidP="00E13A02"/>
          <w:p w:rsidR="00CD771E" w:rsidRPr="003B1C1F" w:rsidRDefault="00CD771E" w:rsidP="00CD771E">
            <w:pPr>
              <w:pStyle w:val="3"/>
              <w:ind w:left="34"/>
              <w:rPr>
                <w:rFonts w:ascii="Verdana" w:hAnsi="Verdana"/>
                <w:sz w:val="22"/>
                <w:szCs w:val="22"/>
                <w:lang w:val="el-GR"/>
              </w:rPr>
            </w:pPr>
            <w:r w:rsidRPr="003B1C1F">
              <w:rPr>
                <w:rFonts w:ascii="Verdana" w:hAnsi="Verdana"/>
                <w:sz w:val="22"/>
                <w:szCs w:val="22"/>
                <w:lang w:val="el-GR"/>
              </w:rPr>
              <w:t>ΓΕΝΙΚΗ ΓΡΑΜΜΑΤΕΙΑ ΙΔΙΩΤΙΚΩΝ</w:t>
            </w:r>
          </w:p>
          <w:p w:rsidR="00CD771E" w:rsidRPr="003B1C1F" w:rsidRDefault="00CD771E" w:rsidP="00CD771E">
            <w:pPr>
              <w:pStyle w:val="3"/>
              <w:ind w:left="34"/>
              <w:rPr>
                <w:rFonts w:ascii="Verdana" w:hAnsi="Verdana"/>
                <w:sz w:val="22"/>
                <w:szCs w:val="22"/>
                <w:lang w:val="el-GR"/>
              </w:rPr>
            </w:pPr>
            <w:r w:rsidRPr="003B1C1F">
              <w:rPr>
                <w:rFonts w:ascii="Verdana" w:hAnsi="Verdana"/>
                <w:sz w:val="22"/>
                <w:szCs w:val="22"/>
                <w:lang w:val="el-GR"/>
              </w:rPr>
              <w:t>ΕΠΕΝΔΥΣΕΩΝ ΚΑΙ ΣΥΜΠΡΑΞΕΩΝ</w:t>
            </w:r>
          </w:p>
          <w:p w:rsidR="00CD771E" w:rsidRPr="003B1C1F" w:rsidRDefault="00CD771E" w:rsidP="00CD771E">
            <w:pPr>
              <w:pStyle w:val="3"/>
              <w:ind w:left="34"/>
              <w:rPr>
                <w:rFonts w:ascii="Verdana" w:hAnsi="Verdana"/>
                <w:sz w:val="22"/>
                <w:szCs w:val="22"/>
                <w:lang w:val="el-GR"/>
              </w:rPr>
            </w:pPr>
            <w:r w:rsidRPr="003B1C1F">
              <w:rPr>
                <w:rFonts w:ascii="Verdana" w:hAnsi="Verdana"/>
                <w:sz w:val="22"/>
                <w:szCs w:val="22"/>
                <w:lang w:val="el-GR"/>
              </w:rPr>
              <w:t>ΔΗΜΟΣΙΟΥ ΚΑΙ ΙΔΙΩΤΙΚΟΥ ΤΟΜΕΑ</w:t>
            </w:r>
          </w:p>
          <w:p w:rsidR="00CD771E" w:rsidRPr="003B1C1F" w:rsidRDefault="00CD771E" w:rsidP="00CD771E">
            <w:pPr>
              <w:pStyle w:val="3"/>
              <w:ind w:left="34"/>
              <w:rPr>
                <w:rFonts w:ascii="Verdana" w:hAnsi="Verdana"/>
                <w:sz w:val="22"/>
                <w:szCs w:val="22"/>
                <w:lang w:val="el-GR"/>
              </w:rPr>
            </w:pPr>
            <w:r w:rsidRPr="003B1C1F">
              <w:rPr>
                <w:rFonts w:ascii="Verdana" w:hAnsi="Verdana"/>
                <w:sz w:val="22"/>
                <w:szCs w:val="22"/>
                <w:lang w:val="el-GR"/>
              </w:rPr>
              <w:t xml:space="preserve">ΓΕΝΙΚΗ ΔΙΕΥΘΥΝΣΗ ΑΝΑΠΤΥΞΙΑΚΩΝ ΝΟΜΩΝ </w:t>
            </w:r>
          </w:p>
          <w:p w:rsidR="00CD771E" w:rsidRPr="003B1C1F" w:rsidRDefault="00CD771E" w:rsidP="00CD771E">
            <w:pPr>
              <w:pStyle w:val="3"/>
              <w:ind w:left="34"/>
              <w:rPr>
                <w:rFonts w:ascii="Verdana" w:hAnsi="Verdana"/>
                <w:b w:val="0"/>
                <w:sz w:val="22"/>
                <w:szCs w:val="22"/>
                <w:lang w:val="el-GR"/>
              </w:rPr>
            </w:pPr>
            <w:r w:rsidRPr="003B1C1F">
              <w:rPr>
                <w:rFonts w:ascii="Verdana" w:hAnsi="Verdana"/>
                <w:sz w:val="22"/>
                <w:szCs w:val="22"/>
                <w:lang w:val="el-GR"/>
              </w:rPr>
              <w:t xml:space="preserve">ΚΑΙ ΑΜΕΣΩΝ ΞΕΝΩΝ ΕΠΕΝΔΥΣΕΩΝ </w:t>
            </w:r>
          </w:p>
          <w:p w:rsidR="00CD771E" w:rsidRPr="003B1C1F" w:rsidRDefault="00CD771E" w:rsidP="00CD771E">
            <w:pPr>
              <w:ind w:left="34"/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3B1C1F"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ΔΙΕΥΘΥΝΣΗ </w:t>
            </w:r>
            <w:r>
              <w:rPr>
                <w:rFonts w:ascii="Verdana" w:hAnsi="Verdana"/>
                <w:b/>
                <w:sz w:val="22"/>
                <w:szCs w:val="22"/>
                <w:lang w:val="el-GR"/>
              </w:rPr>
              <w:t>ΑΝΑΠΤΥΞΙΑΚΩΝ ΝΟΜΩΝ</w:t>
            </w:r>
          </w:p>
          <w:p w:rsidR="00CD771E" w:rsidRDefault="00CD771E" w:rsidP="00E13A02">
            <w:pPr>
              <w:jc w:val="center"/>
              <w:rPr>
                <w:lang w:val="el-GR"/>
              </w:rPr>
            </w:pPr>
          </w:p>
          <w:p w:rsidR="00CD771E" w:rsidRPr="00D03D16" w:rsidRDefault="00CD771E" w:rsidP="00E13A02">
            <w:pPr>
              <w:spacing w:line="276" w:lineRule="auto"/>
              <w:ind w:left="34" w:right="34"/>
              <w:jc w:val="both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3B1C1F">
              <w:rPr>
                <w:rFonts w:ascii="Verdana" w:hAnsi="Verdana"/>
                <w:b/>
                <w:sz w:val="22"/>
                <w:szCs w:val="22"/>
                <w:lang w:val="el-GR"/>
              </w:rPr>
              <w:t>Ανακοίνωση για τ</w:t>
            </w:r>
            <w:r>
              <w:rPr>
                <w:rFonts w:ascii="Verdana" w:hAnsi="Verdana"/>
                <w:b/>
                <w:sz w:val="22"/>
                <w:szCs w:val="22"/>
                <w:lang w:val="el-GR"/>
              </w:rPr>
              <w:t>ην υποβολή των προεγκρίσεων των επενδυτικών δανείων στ</w:t>
            </w:r>
            <w:r w:rsidR="00D03D16">
              <w:rPr>
                <w:rFonts w:ascii="Verdana" w:hAnsi="Verdana"/>
                <w:b/>
                <w:sz w:val="22"/>
                <w:szCs w:val="22"/>
                <w:lang w:val="el-GR"/>
              </w:rPr>
              <w:t>α</w:t>
            </w:r>
            <w:r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 καθεστώ</w:t>
            </w:r>
            <w:r w:rsidR="00D03D16">
              <w:rPr>
                <w:rFonts w:ascii="Verdana" w:hAnsi="Verdana"/>
                <w:b/>
                <w:sz w:val="22"/>
                <w:szCs w:val="22"/>
                <w:lang w:val="el-GR"/>
              </w:rPr>
              <w:t>τα</w:t>
            </w:r>
            <w:r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 ενισχύσεων ΜΕΤΑΠΟΙΗΣΗ – ΕΦΟΔΙΑΣΤΙΚΗ ΑΛΥΣΙΔΑ</w:t>
            </w:r>
            <w:r w:rsidR="00D03D16"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 και ΕΝΙΣΧΥΣΗ ΤΟΥΡΙΣΤΙΚΩΝ ΕΠΕΝΔΥΣΕΩΝ.</w:t>
            </w:r>
          </w:p>
          <w:p w:rsidR="00CD771E" w:rsidRDefault="00CD771E" w:rsidP="00E13A02">
            <w:pPr>
              <w:ind w:left="33" w:right="34"/>
              <w:rPr>
                <w:rFonts w:ascii="Arial" w:hAnsi="Arial"/>
                <w:sz w:val="24"/>
                <w:lang w:val="el-GR"/>
              </w:rPr>
            </w:pPr>
          </w:p>
          <w:p w:rsidR="00C874D3" w:rsidRDefault="00CD771E" w:rsidP="00E13A02">
            <w:pPr>
              <w:spacing w:line="360" w:lineRule="auto"/>
              <w:ind w:left="34" w:right="34"/>
              <w:jc w:val="both"/>
              <w:rPr>
                <w:rFonts w:ascii="Verdana" w:hAnsi="Verdana"/>
                <w:lang w:val="el-GR"/>
              </w:rPr>
            </w:pPr>
            <w:r w:rsidRPr="00376009">
              <w:rPr>
                <w:rFonts w:ascii="Verdana" w:hAnsi="Verdana"/>
                <w:lang w:val="el-GR"/>
              </w:rPr>
              <w:t xml:space="preserve">Η ενέργεια ανάρτησης προέγκρισης δανείου είναι διαθέσιμη στους υπόχρεους </w:t>
            </w:r>
            <w:r w:rsidRPr="00C6374A">
              <w:rPr>
                <w:rFonts w:ascii="Verdana" w:hAnsi="Verdana"/>
                <w:lang w:val="el-GR"/>
              </w:rPr>
              <w:t>προς υποβολή επενδυτικούς φορείς</w:t>
            </w:r>
            <w:r w:rsidR="00314CED">
              <w:rPr>
                <w:rFonts w:ascii="Verdana" w:hAnsi="Verdana"/>
                <w:lang w:val="el-GR"/>
              </w:rPr>
              <w:t>,</w:t>
            </w:r>
            <w:r w:rsidRPr="00383F8F">
              <w:rPr>
                <w:rFonts w:ascii="Verdana" w:hAnsi="Verdana"/>
                <w:color w:val="FF0000"/>
                <w:lang w:val="el-GR"/>
              </w:rPr>
              <w:t xml:space="preserve"> </w:t>
            </w:r>
            <w:r w:rsidRPr="00CD771E">
              <w:rPr>
                <w:rFonts w:ascii="Verdana" w:hAnsi="Verdana"/>
                <w:lang w:val="el-GR"/>
              </w:rPr>
              <w:t>στ</w:t>
            </w:r>
            <w:r w:rsidR="00D03D16">
              <w:rPr>
                <w:rFonts w:ascii="Verdana" w:hAnsi="Verdana"/>
                <w:lang w:val="el-GR"/>
              </w:rPr>
              <w:t>ο</w:t>
            </w:r>
            <w:r w:rsidRPr="00CD771E">
              <w:rPr>
                <w:rFonts w:ascii="Verdana" w:hAnsi="Verdana"/>
                <w:lang w:val="el-GR"/>
              </w:rPr>
              <w:t xml:space="preserve"> καθεστώς ενισχύσεων ΜΕΤΑΠΟΙΗΣΗ – ΕΦΟΔΙΑΣΤΙΚΗ ΑΛΥΣΙΔΑ</w:t>
            </w:r>
            <w:r>
              <w:rPr>
                <w:rFonts w:ascii="Verdana" w:hAnsi="Verdana"/>
                <w:lang w:val="el-GR"/>
              </w:rPr>
              <w:t xml:space="preserve"> σύμφωνα με την ΥΑ 74086/21-07-2022 (Β’ 3890)</w:t>
            </w:r>
            <w:r w:rsidR="00314CED">
              <w:rPr>
                <w:rFonts w:ascii="Verdana" w:hAnsi="Verdana"/>
                <w:lang w:val="el-GR"/>
              </w:rPr>
              <w:t>,</w:t>
            </w:r>
            <w:r w:rsidR="00C874D3">
              <w:rPr>
                <w:rFonts w:ascii="Verdana" w:hAnsi="Verdana"/>
                <w:lang w:val="el-GR"/>
              </w:rPr>
              <w:t xml:space="preserve"> </w:t>
            </w:r>
            <w:r w:rsidR="00D03D16">
              <w:rPr>
                <w:rFonts w:ascii="Verdana" w:hAnsi="Verdana"/>
                <w:lang w:val="el-GR"/>
              </w:rPr>
              <w:t xml:space="preserve">καθώς </w:t>
            </w:r>
            <w:r w:rsidR="00D03D16" w:rsidRPr="00C11D74">
              <w:rPr>
                <w:rFonts w:ascii="Verdana" w:hAnsi="Verdana"/>
                <w:lang w:val="el-GR"/>
              </w:rPr>
              <w:t>και το καθεστώς ΕΝΙΣΧΥΣΗ ΤΟΥΡΙΣΤΙΚΩΝ ΕΠΕΝΔΥΣΕΩΝ</w:t>
            </w:r>
            <w:r w:rsidR="00314CED" w:rsidRPr="00C11D74">
              <w:rPr>
                <w:rFonts w:ascii="Verdana" w:hAnsi="Verdana"/>
                <w:lang w:val="el-GR"/>
              </w:rPr>
              <w:t>,</w:t>
            </w:r>
            <w:r w:rsidR="00D03D16" w:rsidRPr="00C11D74">
              <w:rPr>
                <w:rFonts w:ascii="Verdana" w:hAnsi="Verdana"/>
                <w:lang w:val="el-GR"/>
              </w:rPr>
              <w:t xml:space="preserve"> σύμφωνα με την Υ.Α. 79187/5-8-2022 (Β’ 4210)</w:t>
            </w:r>
            <w:r w:rsidR="00314CED" w:rsidRPr="00C11D74">
              <w:rPr>
                <w:rFonts w:ascii="Verdana" w:hAnsi="Verdana"/>
                <w:lang w:val="el-GR"/>
              </w:rPr>
              <w:t>,</w:t>
            </w:r>
            <w:r w:rsidR="00D03D16" w:rsidRPr="00C11D74">
              <w:rPr>
                <w:rFonts w:ascii="Segoe UI" w:hAnsi="Segoe UI" w:cs="Segoe UI"/>
                <w:b/>
                <w:bCs/>
                <w:color w:val="093858"/>
                <w:shd w:val="clear" w:color="auto" w:fill="FFFFFF"/>
                <w:lang w:val="el-GR"/>
              </w:rPr>
              <w:t xml:space="preserve"> </w:t>
            </w:r>
            <w:r w:rsidR="00C874D3" w:rsidRPr="00C11D74">
              <w:rPr>
                <w:rFonts w:ascii="Verdana" w:hAnsi="Verdana"/>
                <w:lang w:val="el-GR"/>
              </w:rPr>
              <w:t xml:space="preserve">από </w:t>
            </w:r>
            <w:r w:rsidR="001F5222" w:rsidRPr="001F5222">
              <w:rPr>
                <w:rFonts w:ascii="Verdana" w:hAnsi="Verdana"/>
                <w:lang w:val="el-GR"/>
              </w:rPr>
              <w:t>8</w:t>
            </w:r>
            <w:r w:rsidR="00C874D3" w:rsidRPr="00C11D74">
              <w:rPr>
                <w:rFonts w:ascii="Verdana" w:hAnsi="Verdana"/>
                <w:lang w:val="el-GR"/>
              </w:rPr>
              <w:t xml:space="preserve">  Φεβρουαρίου 2023 έως και </w:t>
            </w:r>
            <w:r w:rsidR="00D03D16" w:rsidRPr="00C11D74">
              <w:rPr>
                <w:rFonts w:ascii="Verdana" w:hAnsi="Verdana"/>
                <w:lang w:val="el-GR"/>
              </w:rPr>
              <w:t>1</w:t>
            </w:r>
            <w:r w:rsidR="001F5222">
              <w:rPr>
                <w:rFonts w:ascii="Verdana" w:hAnsi="Verdana"/>
              </w:rPr>
              <w:t>4</w:t>
            </w:r>
            <w:r w:rsidR="00C874D3" w:rsidRPr="00C11D74">
              <w:rPr>
                <w:rFonts w:ascii="Verdana" w:hAnsi="Verdana"/>
                <w:lang w:val="el-GR"/>
              </w:rPr>
              <w:t xml:space="preserve"> Φεβρουαρίου 2023  και αφορά αποκλειστικά τις περιπτώσεις των υπόχρεων</w:t>
            </w:r>
            <w:r w:rsidR="00314CED" w:rsidRPr="00C11D74">
              <w:rPr>
                <w:rFonts w:ascii="Verdana" w:hAnsi="Verdana"/>
                <w:lang w:val="el-GR"/>
              </w:rPr>
              <w:t>, οι οποίοι</w:t>
            </w:r>
            <w:r w:rsidR="00C874D3" w:rsidRPr="00C11D74">
              <w:rPr>
                <w:rFonts w:ascii="Verdana" w:hAnsi="Verdana"/>
                <w:lang w:val="el-GR"/>
              </w:rPr>
              <w:t xml:space="preserve"> υπέβαλαν αίτηση υπαγωγής στο εν λόγω καθεστώς και</w:t>
            </w:r>
            <w:r w:rsidR="00C874D3">
              <w:rPr>
                <w:rFonts w:ascii="Verdana" w:hAnsi="Verdana"/>
                <w:lang w:val="el-GR"/>
              </w:rPr>
              <w:t xml:space="preserve"> δεν είχαν προβεί στη σχετική ανάρτηση</w:t>
            </w:r>
            <w:r w:rsidR="00314CED">
              <w:rPr>
                <w:rFonts w:ascii="Verdana" w:hAnsi="Verdana"/>
                <w:lang w:val="el-GR"/>
              </w:rPr>
              <w:t>,</w:t>
            </w:r>
            <w:r w:rsidR="00C874D3">
              <w:rPr>
                <w:rFonts w:ascii="Verdana" w:hAnsi="Verdana"/>
                <w:lang w:val="el-GR"/>
              </w:rPr>
              <w:t xml:space="preserve"> λόγω μη έγκαιρης  πληροφόρησής τους για την ενεργοποίηση της σχετικής ενέργειας στο Πληροφοριακό Σύστημα Αναπτυξιακών Νόμων (ΠΣ-Αν)</w:t>
            </w:r>
            <w:r w:rsidR="00D03D16">
              <w:rPr>
                <w:rFonts w:ascii="Verdana" w:hAnsi="Verdana"/>
                <w:lang w:val="el-GR"/>
              </w:rPr>
              <w:t xml:space="preserve"> και σαφούς προσδιορισμού της καταληκτικής ημερομηνίας υποβολής.</w:t>
            </w:r>
          </w:p>
          <w:p w:rsidR="00CD771E" w:rsidRDefault="00C874D3" w:rsidP="00E13A02">
            <w:pPr>
              <w:spacing w:line="360" w:lineRule="auto"/>
              <w:ind w:left="34" w:right="34"/>
              <w:jc w:val="both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Προϋπόθεση υποβολής είναι η σχετική προέγκριση</w:t>
            </w:r>
            <w:r w:rsidRPr="00376009">
              <w:rPr>
                <w:rFonts w:ascii="Verdana" w:hAnsi="Verdana"/>
                <w:lang w:val="el-GR"/>
              </w:rPr>
              <w:t xml:space="preserve"> δανείου</w:t>
            </w:r>
            <w:r>
              <w:rPr>
                <w:rFonts w:ascii="Verdana" w:hAnsi="Verdana"/>
                <w:lang w:val="el-GR"/>
              </w:rPr>
              <w:t xml:space="preserve"> να έχει εκδοθεί προ τη</w:t>
            </w:r>
            <w:r w:rsidR="00C6374A">
              <w:rPr>
                <w:rFonts w:ascii="Verdana" w:hAnsi="Verdana"/>
                <w:lang w:val="el-GR"/>
              </w:rPr>
              <w:t>ς</w:t>
            </w:r>
            <w:r>
              <w:rPr>
                <w:rFonts w:ascii="Verdana" w:hAnsi="Verdana"/>
                <w:lang w:val="el-GR"/>
              </w:rPr>
              <w:t xml:space="preserve"> ημερομηνίας εκπνοής</w:t>
            </w:r>
            <w:r w:rsidR="00B035AC">
              <w:rPr>
                <w:rFonts w:ascii="Verdana" w:hAnsi="Verdana"/>
                <w:lang w:val="el-GR"/>
              </w:rPr>
              <w:t xml:space="preserve"> υποβολής του ως άνω δικαιολογητικού ήτοι </w:t>
            </w:r>
            <w:r w:rsidR="00C11D74">
              <w:rPr>
                <w:rFonts w:ascii="Verdana" w:hAnsi="Verdana"/>
                <w:lang w:val="el-GR"/>
              </w:rPr>
              <w:t xml:space="preserve">έως </w:t>
            </w:r>
            <w:r w:rsidR="00B035AC">
              <w:rPr>
                <w:rFonts w:ascii="Verdana" w:hAnsi="Verdana"/>
                <w:lang w:val="el-GR"/>
              </w:rPr>
              <w:t>15 Δεκεμβρίου 2022</w:t>
            </w:r>
            <w:r w:rsidR="00C6374A">
              <w:rPr>
                <w:rFonts w:ascii="Verdana" w:hAnsi="Verdana"/>
                <w:lang w:val="el-GR"/>
              </w:rPr>
              <w:t xml:space="preserve"> και </w:t>
            </w:r>
            <w:r w:rsidR="00C11D74">
              <w:rPr>
                <w:rFonts w:ascii="Verdana" w:hAnsi="Verdana"/>
                <w:lang w:val="el-GR"/>
              </w:rPr>
              <w:t xml:space="preserve">έως </w:t>
            </w:r>
            <w:r w:rsidR="00C6374A">
              <w:rPr>
                <w:rFonts w:ascii="Verdana" w:hAnsi="Verdana"/>
                <w:lang w:val="el-GR"/>
              </w:rPr>
              <w:t>19 Ιανουαρίου 2023 αντίστοιχα.</w:t>
            </w:r>
          </w:p>
          <w:p w:rsidR="00B035AC" w:rsidRDefault="00B035AC" w:rsidP="00E13A02">
            <w:pPr>
              <w:spacing w:line="360" w:lineRule="auto"/>
              <w:ind w:left="34" w:right="34"/>
              <w:jc w:val="both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Για την ανάρτηση του σχετικού δικαιολογητικού ακολουθείστε </w:t>
            </w:r>
            <w:r w:rsidR="00383F8F">
              <w:rPr>
                <w:rFonts w:ascii="Verdana" w:hAnsi="Verdana"/>
                <w:lang w:val="el-GR"/>
              </w:rPr>
              <w:t>τις οδηγίες</w:t>
            </w:r>
            <w:r w:rsidR="00C11D74">
              <w:rPr>
                <w:rFonts w:ascii="Verdana" w:hAnsi="Verdana"/>
                <w:lang w:val="el-GR"/>
              </w:rPr>
              <w:t>,</w:t>
            </w:r>
            <w:r w:rsidR="00383F8F">
              <w:rPr>
                <w:rFonts w:ascii="Verdana" w:hAnsi="Verdana"/>
                <w:lang w:val="el-GR"/>
              </w:rPr>
              <w:t xml:space="preserve"> όπως </w:t>
            </w:r>
            <w:r w:rsidR="00C11D74">
              <w:rPr>
                <w:rFonts w:ascii="Verdana" w:hAnsi="Verdana"/>
                <w:lang w:val="el-GR"/>
              </w:rPr>
              <w:t xml:space="preserve">περιγράφονται </w:t>
            </w:r>
            <w:r w:rsidR="00383F8F">
              <w:rPr>
                <w:rFonts w:ascii="Verdana" w:hAnsi="Verdana"/>
                <w:lang w:val="el-GR"/>
              </w:rPr>
              <w:t>στην από 9 Δεκεμβρίου 2022 ανακοίνωση της Υπηρεσίας (</w:t>
            </w:r>
            <w:hyperlink r:id="rId7" w:history="1">
              <w:r w:rsidR="00383F8F" w:rsidRPr="00F22005">
                <w:rPr>
                  <w:rStyle w:val="-"/>
                  <w:rFonts w:ascii="Verdana" w:hAnsi="Verdana"/>
                  <w:lang w:val="el-GR"/>
                </w:rPr>
                <w:t>https://ependyseis.mindev.gov.gr/el/idiotikes/anakoinoseis/ipovoli-proegkriseon-ependitikon-danion</w:t>
              </w:r>
            </w:hyperlink>
            <w:r w:rsidR="00383F8F">
              <w:rPr>
                <w:rFonts w:ascii="Verdana" w:hAnsi="Verdana"/>
                <w:lang w:val="el-GR"/>
              </w:rPr>
              <w:t xml:space="preserve">) </w:t>
            </w:r>
          </w:p>
          <w:p w:rsidR="00CD771E" w:rsidRPr="00866FB2" w:rsidRDefault="00CD771E" w:rsidP="00383F8F">
            <w:pPr>
              <w:spacing w:line="360" w:lineRule="auto"/>
              <w:ind w:left="34" w:right="34"/>
              <w:jc w:val="both"/>
              <w:rPr>
                <w:rFonts w:ascii="Verdana" w:hAnsi="Verdana"/>
                <w:lang w:val="el-GR"/>
              </w:rPr>
            </w:pPr>
          </w:p>
        </w:tc>
      </w:tr>
    </w:tbl>
    <w:p w:rsidR="00CD771E" w:rsidRPr="006C4595" w:rsidRDefault="00CD771E" w:rsidP="00CD771E">
      <w:pPr>
        <w:rPr>
          <w:rFonts w:ascii="Calibri" w:hAnsi="Calibri"/>
          <w:lang w:val="el-GR"/>
        </w:rPr>
      </w:pPr>
    </w:p>
    <w:p w:rsidR="00F00AB0" w:rsidRPr="00CD771E" w:rsidRDefault="00F00AB0">
      <w:pPr>
        <w:rPr>
          <w:lang w:val="el-GR"/>
        </w:rPr>
      </w:pPr>
    </w:p>
    <w:sectPr w:rsidR="00F00AB0" w:rsidRPr="00CD771E" w:rsidSect="00BE0454">
      <w:footerReference w:type="default" r:id="rId8"/>
      <w:pgSz w:w="11906" w:h="16838"/>
      <w:pgMar w:top="141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4C6" w:rsidRDefault="00CB44C6">
      <w:r>
        <w:separator/>
      </w:r>
    </w:p>
  </w:endnote>
  <w:endnote w:type="continuationSeparator" w:id="0">
    <w:p w:rsidR="00CB44C6" w:rsidRDefault="00CB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600704"/>
      <w:docPartObj>
        <w:docPartGallery w:val="Page Numbers (Bottom of Page)"/>
        <w:docPartUnique/>
      </w:docPartObj>
    </w:sdtPr>
    <w:sdtContent>
      <w:p w:rsidR="00BE0454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1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454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4C6" w:rsidRDefault="00CB44C6">
      <w:r>
        <w:separator/>
      </w:r>
    </w:p>
  </w:footnote>
  <w:footnote w:type="continuationSeparator" w:id="0">
    <w:p w:rsidR="00CB44C6" w:rsidRDefault="00CB4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1E"/>
    <w:rsid w:val="001F5222"/>
    <w:rsid w:val="00314CED"/>
    <w:rsid w:val="00383F8F"/>
    <w:rsid w:val="004059F5"/>
    <w:rsid w:val="0054013C"/>
    <w:rsid w:val="006E3FF4"/>
    <w:rsid w:val="008304D8"/>
    <w:rsid w:val="008D38F3"/>
    <w:rsid w:val="009761FC"/>
    <w:rsid w:val="00B035AC"/>
    <w:rsid w:val="00C11D74"/>
    <w:rsid w:val="00C6374A"/>
    <w:rsid w:val="00C874D3"/>
    <w:rsid w:val="00CB44C6"/>
    <w:rsid w:val="00CD771E"/>
    <w:rsid w:val="00D03D16"/>
    <w:rsid w:val="00F00AB0"/>
    <w:rsid w:val="00F2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823"/>
  <w15:docId w15:val="{1A7BE4DA-B5E3-45EB-B33F-AF526681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71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3">
    <w:name w:val="heading 3"/>
    <w:basedOn w:val="a"/>
    <w:next w:val="a"/>
    <w:link w:val="3Char"/>
    <w:qFormat/>
    <w:rsid w:val="00CD771E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D771E"/>
    <w:rPr>
      <w:rFonts w:ascii="Arial" w:eastAsia="Times New Roman" w:hAnsi="Arial" w:cs="Times New Roman"/>
      <w:b/>
      <w:sz w:val="24"/>
      <w:szCs w:val="20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CD771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CD771E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771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771E"/>
    <w:rPr>
      <w:rFonts w:ascii="Tahoma" w:eastAsia="Times New Roman" w:hAnsi="Tahoma" w:cs="Tahoma"/>
      <w:sz w:val="16"/>
      <w:szCs w:val="16"/>
      <w:lang w:val="en-US" w:eastAsia="el-GR"/>
    </w:rPr>
  </w:style>
  <w:style w:type="character" w:styleId="-">
    <w:name w:val="Hyperlink"/>
    <w:basedOn w:val="a0"/>
    <w:uiPriority w:val="99"/>
    <w:unhideWhenUsed/>
    <w:rsid w:val="00383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pendyseis.mindev.gov.gr/el/idiotikes/anakoinoseis/ipovoli-proegkriseon-ependitikon-dan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gbexis</dc:creator>
  <cp:lastModifiedBy>Sotiris Athanasiou</cp:lastModifiedBy>
  <cp:revision>2</cp:revision>
  <cp:lastPrinted>2023-02-03T10:06:00Z</cp:lastPrinted>
  <dcterms:created xsi:type="dcterms:W3CDTF">2023-02-08T12:31:00Z</dcterms:created>
  <dcterms:modified xsi:type="dcterms:W3CDTF">2023-02-08T12:31:00Z</dcterms:modified>
</cp:coreProperties>
</file>